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0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 w:left="0"/>
        <w:jc w:val="center"/>
        <w:rPr/>
      </w:pPr>
      <w:r>
        <w:rPr/>
        <w:t>每日科普-断桥铝窗户</w:t>
      </w:r>
    </w:p>
    <w:p>
      <w:pPr>
        <w:pStyle w:val="ablt93"/>
        <w:numPr/>
        <w:pBdr/>
        <w:ind/>
        <w:jc w:val="both"/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断桥铝品牌只代表型材厂家，不能代表整扇门窗品质。</w:t>
      </w:r>
    </w:p>
    <w:p>
      <w:pPr>
        <w:pStyle w:val="ablt93"/>
        <w:numPr/>
        <w:pBdr/>
        <w:ind/>
        <w:jc w:val="both"/>
        <w:rPr/>
      </w:pPr>
      <w:r>
        <w:rPr/>
        <w:t>首先</w:t>
      </w:r>
      <w:r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最好的判定断桥铝质量的办法就是问商家“有没有和铝材厂的合作凭证或者供货凭证”，或者亲自去门窗加工厂看看。门窗加工厂规模、规范在一定程度上反映产品生产品质。</w:t>
      </w:r>
    </w:p>
    <w:p>
      <w:pPr>
        <w:pStyle w:val="jncc4o"/>
        <w:numPr>
          <w:ilvl w:val="0"/>
          <w:numId w:val="1"/>
        </w:numPr>
        <w:ind/>
        <w:jc w:val="left"/>
        <w:rPr/>
      </w:pPr>
      <w:r>
        <w:rPr/>
        <w:t>型材</w:t>
      </w:r>
    </w:p>
    <w:p>
      <w:pPr>
        <w:pStyle w:val="faizka"/>
        <w:numPr/>
        <w:ind/>
        <w:rPr/>
      </w:pPr>
      <w:r>
        <w:rPr/>
        <w:t>系列：80mm、90mm、110mm、120mm等这些指的是型材宽度</w:t>
      </w:r>
    </w:p>
    <w:p>
      <w:pPr>
        <w:numPr/>
        <w:pBdr/>
        <w:snapToGrid/>
        <w:spacing w:line="240"/>
        <w:ind/>
        <w:rPr>
          <w:i w:val="false"/>
          <w:strike w:val="false"/>
          <w:color w:val="000000"/>
          <w:u w:val="none"/>
        </w:rPr>
      </w:pPr>
      <w:r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但系列数字增大不代表性能提升，</w:t>
      </w:r>
      <w:r>
        <w:rPr>
          <w:rFonts w:ascii="PingFang SC" w:hAnsi="PingFang SC" w:cs="PingFang SC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保温、隔音效果并非由系列号决定，主要取决于玻璃、密封条等配件，</w:t>
      </w:r>
      <w:r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只是价格会因型材变宽而相对提高。</w:t>
      </w:r>
      <w:r>
        <w:rPr>
          <w:i w:val="false"/>
          <w:strike w:val="false"/>
          <w:color w:val="000000"/>
          <w:u w:val="none"/>
        </w:rPr>
        <w:t>建议如果是在8层以下的，型材选80mm就可以，高层的90mm也够用了，预算充足的话,选110或120窗纱一体的更好看。</w:t>
      </w:r>
    </w:p>
    <w:p>
      <w:pPr>
        <w:numPr/>
        <w:pBdr/>
        <w:snapToGrid/>
        <w:spacing w:line="240"/>
        <w:ind/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/>
        <w:drawing>
          <wp:inline distT="0" distB="0" distL="0" distR="0">
            <wp:extent cx="4181475" cy="5744387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4181475" cy="574438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u w:val="none"/>
        </w:rPr>
      </w:pPr>
    </w:p>
    <w:p>
      <w:pPr>
        <w:pStyle w:val="faizka"/>
        <w:numPr/>
        <w:ind/>
        <w:rPr/>
      </w:pPr>
      <w:r>
        <w:rPr/>
        <w:t>壁厚：1.4mm、1.6mm、新国标1.8mm、2.0mm、3.0mm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u w:val="none"/>
        </w:rPr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即便你买了1.8mm的铝材，那窗户框都是在厂家组装好再送到家里的，给你换个1,4的你也根本不知道，部分无良商家会抱着这样的心态狠狠赚上一笔,可以自己准备一个千分尺测量。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安装前拍摄商家提供的样角截面，重点存档：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隔热条材质（PA66尼龙标识）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腔体数量及加强筋位置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‌安装后核验‌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对比实际窗框外观与样品加强筋是否一致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要求商家提供型材检验报告（标注实测厚度）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u w:val="none"/>
        </w:rPr>
      </w:pPr>
    </w:p>
    <w:p>
      <w:pPr>
        <w:numPr/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/>
        <w:drawing>
          <wp:inline distT="0" distB="0" distL="0" distR="0">
            <wp:extent cx="4105275" cy="547370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4105275" cy="54737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/>
        <w:drawing>
          <wp:inline distT="0" distB="0" distL="0" distR="0">
            <wp:extent cx="4543425" cy="4152900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543425" cy="41529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snapToGrid/>
        <w:spacing w:line="240"/>
        <w:ind/>
        <w:rPr/>
      </w:pPr>
    </w:p>
    <w:p>
      <w:pPr>
        <w:pStyle w:val="faizka"/>
        <w:numPr/>
        <w:ind/>
        <w:rPr/>
      </w:pPr>
      <w:r>
        <w:rPr/>
        <w:t>牌号:：6063-T5、6063-T6、6060-T66</w:t>
      </w:r>
    </w:p>
    <w:p>
      <w:pPr>
        <w:numPr/>
        <w:pBdr/>
        <w:snapToGrid/>
        <w:spacing w:line="240"/>
        <w:ind/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</w:p>
    <w:p>
      <w:pPr>
        <w:numPr/>
        <w:pBdr/>
        <w:snapToGrid/>
        <w:spacing w:line="240"/>
        <w:ind/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6063‌：国标主流铝镁硅合金（Mg-Si比例约0.9:0.6），加工性能优异，适合门窗型材挤压成型</w:t>
      </w:r>
    </w:p>
    <w:p>
      <w:pPr>
        <w:numPr/>
        <w:pBdr/>
        <w:snapToGrid/>
        <w:spacing w:line="240"/>
        <w:ind/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‌6060‌：欧标优化型号，硅含量略高于6063，抗拉强度、屈服强度及耐腐蚀性更优，符合高精级门窗标准。</w:t>
      </w:r>
    </w:p>
    <w:p>
      <w:pPr>
        <w:numPr/>
        <w:pBdr/>
        <w:snapToGrid/>
        <w:spacing w:line="240"/>
        <w:ind/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</w:p>
    <w:p>
      <w:pPr>
        <w:numPr/>
        <w:pBdr/>
        <w:snapToGrid/>
        <w:spacing w:line="240"/>
        <w:ind/>
        <w:rPr/>
      </w:pPr>
    </w:p>
    <w:p>
      <w:pPr>
        <w:numPr/>
        <w:pBdr/>
        <w:snapToGrid/>
        <w:spacing w:line="240"/>
        <w:ind/>
        <w:rPr/>
      </w:pPr>
    </w:p>
    <w:tbl>
      <w:tblPr>
        <w:tblStyle w:val="vvufob"/>
        <w:tblLayout w:type="fixed"/>
      </w:tblPr>
      <w:tblGrid>
        <w:gridCol w:w="1058"/>
        <w:gridCol w:w="2000"/>
        <w:gridCol w:w="6885"/>
      </w:tblGrid>
      <w:tr>
        <w:trPr>
          <w:wBefore/>
          <w:trHeight w:val="644"/>
        </w:trPr>
        <w:tc>
          <w:tcPr>
            <w:tcW w:w="1058" w:type="dxa"/>
            <w:tcBorders>
              <w:top w:val="single" w:color="CBCDD1" w:sz="0" w:space="0"/>
              <w:left w:val="single" w:color="edeef0" w:sz="8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center"/>
              <w:rPr/>
            </w:pPr>
            <w:r>
              <w:rPr/>
              <w:t>代号</w:t>
            </w:r>
          </w:p>
        </w:tc>
        <w:tc>
          <w:tcPr>
            <w:tcW w:w="2000" w:type="dxa"/>
            <w:tcBorders>
              <w:top w:val="single" w:color="CBCDD1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center"/>
              <w:rPr/>
            </w:pPr>
            <w:r>
              <w:rPr>
                <w:rFonts w:ascii="PingFang SC" w:hAnsi="PingFang SC" w:cs="PingFang SC"/>
                <w:i w:val="false"/>
                <w:strike w:val="false"/>
                <w:color w:val="848691"/>
                <w:spacing w:val="0"/>
                <w:sz w:val="24"/>
                <w:u w:val="none"/>
              </w:rPr>
              <w:t>工艺</w:t>
            </w:r>
          </w:p>
        </w:tc>
        <w:tc>
          <w:tcPr>
            <w:tcW w:w="6885" w:type="dxa"/>
            <w:tcBorders>
              <w:top w:val="single" w:color="CBCDD1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center"/>
              <w:rPr/>
            </w:pPr>
            <w:r>
              <w:rPr>
                <w:rFonts w:ascii="PingFang SC" w:hAnsi="PingFang SC" w:cs="PingFang SC"/>
                <w:i w:val="false"/>
                <w:strike w:val="false"/>
                <w:color w:val="848691"/>
                <w:spacing w:val="0"/>
                <w:sz w:val="24"/>
                <w:u w:val="none"/>
              </w:rPr>
              <w:t>核心特点</w:t>
            </w:r>
          </w:p>
        </w:tc>
      </w:tr>
      <w:tr>
        <w:trPr>
          <w:wBefore/>
          <w:trHeight w:val="958"/>
        </w:trPr>
        <w:tc>
          <w:tcPr>
            <w:tcW w:w="1058" w:type="dxa"/>
            <w:tcBorders>
              <w:top w:val="single" w:color="CBCDD1" w:sz="0" w:space="0"/>
              <w:left w:val="single" w:color="edeef0" w:sz="8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/>
            </w:pPr>
            <w:r>
              <w:rPr>
                <w:rFonts w:ascii="PingFang SC" w:hAnsi="PingFang SC" w:cs="PingFang SC"/>
                <w:b/>
                <w:i w:val="false"/>
                <w:strike w:val="false"/>
                <w:color w:val="333333"/>
                <w:spacing w:val="0"/>
                <w:sz w:val="24"/>
                <w:u w:val="none"/>
              </w:rPr>
              <w:t>T5</w:t>
            </w:r>
            <w:r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24"/>
                <w:u w:val="none"/>
              </w:rPr>
              <w:t>‌</w:t>
            </w:r>
          </w:p>
        </w:tc>
        <w:tc>
          <w:tcPr>
            <w:tcW w:w="2000" w:type="dxa"/>
            <w:tcBorders>
              <w:top w:val="single" w:color="CBCDD1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/>
            </w:pPr>
            <w:r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24"/>
                <w:u w:val="none"/>
              </w:rPr>
              <w:t>风冷淬火 + 自然时效</w:t>
            </w:r>
          </w:p>
        </w:tc>
        <w:tc>
          <w:tcPr>
            <w:tcW w:w="6885" w:type="dxa"/>
            <w:tcBorders>
              <w:top w:val="single" w:color="CBCDD1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/>
            </w:pPr>
            <w:r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24"/>
                <w:u w:val="none"/>
              </w:rPr>
              <w:t>硬度适中（抗拉强度≥160MPa），韧性好，成本低</w:t>
            </w:r>
          </w:p>
        </w:tc>
      </w:tr>
      <w:tr>
        <w:trPr>
          <w:wBefore/>
          <w:trHeight w:val="958"/>
        </w:trPr>
        <w:tc>
          <w:tcPr>
            <w:tcW w:w="1058" w:type="dxa"/>
            <w:tcBorders>
              <w:top w:val="single" w:color="edeef0" w:sz="0" w:space="0"/>
              <w:left w:val="single" w:color="edeef0" w:sz="8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/>
            </w:pPr>
            <w:r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24"/>
                <w:u w:val="none"/>
              </w:rPr>
              <w:t>‌</w:t>
            </w:r>
            <w:r>
              <w:rPr>
                <w:rFonts w:ascii="PingFang SC" w:hAnsi="PingFang SC" w:cs="PingFang SC"/>
                <w:b/>
                <w:i w:val="false"/>
                <w:strike w:val="false"/>
                <w:color w:val="333333"/>
                <w:spacing w:val="0"/>
                <w:sz w:val="24"/>
                <w:u w:val="none"/>
              </w:rPr>
              <w:t>T6</w:t>
            </w:r>
            <w:r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24"/>
                <w:u w:val="none"/>
              </w:rPr>
              <w:t>‌</w:t>
            </w:r>
          </w:p>
        </w:tc>
        <w:tc>
          <w:tcPr>
            <w:tcW w:w="2000" w:type="dxa"/>
            <w:tcBorders>
              <w:top w:val="single" w:color="edeef0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/>
            </w:pPr>
            <w:r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24"/>
                <w:u w:val="none"/>
              </w:rPr>
              <w:t>水冷淬火 + 人工时效</w:t>
            </w:r>
          </w:p>
        </w:tc>
        <w:tc>
          <w:tcPr>
            <w:tcW w:w="6885" w:type="dxa"/>
            <w:tcBorders>
              <w:top w:val="single" w:color="edeef0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pBdr/>
              <w:snapToGrid/>
              <w:spacing w:before="0" w:after="0" w:line="240"/>
              <w:ind/>
              <w:jc w:val="left"/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24"/>
                <w:u w:val="none"/>
              </w:rPr>
            </w:pPr>
            <w:r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24"/>
                <w:u w:val="none"/>
              </w:rPr>
              <w:t>强度更高（抗拉强度≥205MPa），耐磨性提升，但</w:t>
            </w:r>
          </w:p>
          <w:p>
            <w:pPr>
              <w:numPr/>
              <w:snapToGrid/>
              <w:spacing w:before="0" w:after="0" w:line="240"/>
              <w:ind/>
              <w:jc w:val="left"/>
              <w:rPr/>
            </w:pPr>
            <w:r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24"/>
                <w:u w:val="none"/>
              </w:rPr>
              <w:t>变形风险略增</w:t>
            </w:r>
          </w:p>
        </w:tc>
      </w:tr>
      <w:tr>
        <w:trPr>
          <w:wBefore/>
          <w:trHeight w:val="948"/>
        </w:trPr>
        <w:tc>
          <w:tcPr>
            <w:tcW w:w="1058" w:type="dxa"/>
            <w:tcBorders>
              <w:top w:val="single" w:color="edeef0" w:sz="0" w:space="0"/>
              <w:left w:val="single" w:color="edeef0" w:sz="8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/>
            </w:pPr>
            <w:r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24"/>
                <w:u w:val="none"/>
              </w:rPr>
              <w:t>‌</w:t>
            </w:r>
            <w:r>
              <w:rPr>
                <w:rFonts w:ascii="PingFang SC" w:hAnsi="PingFang SC" w:cs="PingFang SC"/>
                <w:b/>
                <w:i w:val="false"/>
                <w:strike w:val="false"/>
                <w:color w:val="333333"/>
                <w:spacing w:val="0"/>
                <w:sz w:val="24"/>
                <w:u w:val="none"/>
              </w:rPr>
              <w:t>T66</w:t>
            </w:r>
            <w:r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24"/>
                <w:u w:val="none"/>
              </w:rPr>
              <w:t>‌</w:t>
            </w:r>
          </w:p>
        </w:tc>
        <w:tc>
          <w:tcPr>
            <w:tcW w:w="2000" w:type="dxa"/>
            <w:tcBorders>
              <w:top w:val="single" w:color="edeef0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/>
            </w:pPr>
            <w:r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24"/>
                <w:u w:val="none"/>
              </w:rPr>
              <w:t>T6基础 + 过度时效强化</w:t>
            </w:r>
          </w:p>
        </w:tc>
        <w:tc>
          <w:tcPr>
            <w:tcW w:w="6885" w:type="dxa"/>
            <w:tcBorders>
              <w:top w:val="single" w:color="edeef0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pBdr/>
              <w:snapToGrid/>
              <w:spacing w:before="0" w:after="0" w:line="240"/>
              <w:ind/>
              <w:jc w:val="left"/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24"/>
                <w:u w:val="none"/>
              </w:rPr>
            </w:pPr>
            <w:r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24"/>
                <w:u w:val="none"/>
              </w:rPr>
              <w:t>综合性能最优（抗拉强度≥240MPa），稳定性强，</w:t>
            </w:r>
          </w:p>
          <w:p>
            <w:pPr>
              <w:numPr/>
              <w:snapToGrid/>
              <w:spacing w:before="0" w:after="0" w:line="240"/>
              <w:ind/>
              <w:jc w:val="left"/>
              <w:rPr/>
            </w:pPr>
            <w:r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24"/>
                <w:u w:val="none"/>
              </w:rPr>
              <w:t>抗变形能力突出</w:t>
            </w:r>
            <w:r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18"/>
                <w:u w:val="none"/>
                <w:shd w:val="clear" w:color="auto" w:fill="DFDFF5"/>
                <w:vertAlign w:val="baseline"/>
              </w:rPr>
              <w:t>35</w:t>
            </w:r>
            <w:r>
              <w:rPr>
                <w:rFonts w:ascii="PingFang SC" w:hAnsi="PingFang SC" w:cs="PingFang SC"/>
                <w:i w:val="false"/>
                <w:strike w:val="false"/>
                <w:color w:val="333333"/>
                <w:spacing w:val="0"/>
                <w:sz w:val="24"/>
                <w:u w:val="none"/>
              </w:rPr>
              <w:t>。</w:t>
            </w:r>
          </w:p>
        </w:tc>
      </w:tr>
    </w:tbl>
    <w:p>
      <w:pPr>
        <w:numPr/>
        <w:pBdr/>
        <w:snapToGrid/>
        <w:spacing w:line="240"/>
        <w:ind/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‌抗拉强度以及耐候性：6060-T66＞6063-T6＞6063-T5</w:t>
      </w:r>
    </w:p>
    <w:p>
      <w:pPr>
        <w:numPr/>
        <w:pBdr>
          <w:bottom/>
        </w:pBdr>
        <w:snapToGrid/>
        <w:spacing w:before="0" w:after="0" w:line="240"/>
        <w:ind/>
        <w:jc w:val="left"/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适用场景参考：6063-T5‌普通家装门窗，6063-T6‌高层/台风区门窗，6060-T66‌极窄边框、高端系统窗。</w:t>
      </w:r>
    </w:p>
    <w:p>
      <w:pPr>
        <w:numPr/>
        <w:pBdr>
          <w:bottom/>
        </w:pBdr>
        <w:snapToGrid/>
        <w:spacing w:line="240"/>
        <w:ind/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‌</w:t>
      </w:r>
    </w:p>
    <w:p>
      <w:pPr>
        <w:pStyle w:val="faizka"/>
        <w:numPr/>
        <w:pBdr/>
        <w:ind/>
        <w:rPr/>
      </w:pPr>
      <w:r>
        <w:rPr/>
        <w:t>喷涂：粉末喷涂、氟碳喷涂</w:t>
      </w:r>
    </w:p>
    <w:p>
      <w:pPr>
        <w:pStyle w:val="ablt93"/>
        <w:numPr/>
        <w:pBdr/>
        <w:ind/>
        <w:rPr/>
      </w:pPr>
      <w:r>
        <w:rPr/>
        <w:t>粉末喷涂就是用喷枪把粉末喷涂在形态表面，再经过高温烘烤成型。是目前最广泛的喷涂方式，优点是色彩丰富、成本相对较低，耐腐蚀性能良好，生产工艺更环保。缺点是遭长期紫外线照射会造成自然褪色，2-5年后室内外色差大。</w:t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/>
      </w:pPr>
      <w:r>
        <w:rPr/>
        <w:t>氟碳喷涂是现在较为高端的表面处理工艺，需要先对铝材做前置处理，包括去油污、碱洗、酸洗等等步骤，再进行喷涂，包括底漆、面漆、罩光漆等，最后再高温烘烤并质检。这种工艺保证了氟碳涂层和铝材的牢固结合，提供了优异的保护。优点是</w:t>
      </w:r>
      <w:r>
        <w:rPr/>
        <w:t>在恶劣的气候和环境下可以体现出抗褪色性、抗紫外线适用对品质要求较高的人群。但是由于工艺复杂、成本较高且颜色可选择性较少，出现的比较少。</w:t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/>
      </w:pPr>
      <w:r>
        <w:rPr/>
        <w:t>好一点的系统窗在喷涂这块都做的很到位，都会去做前置的打磨，包括去油污、碱洗、高温烘烤等，甚至进口的喷枪喷的均匀度与氟碳喷涂基本上也差不多，这也是同样是阿克苏进口粉末喷涂但是产品差价很多的主要原因。而且粉末也有新粉末和回收粉的区别，品牌系统窗出货量较大，一般都是用新粉，小品牌如果从成本考虑会采购回收粉喷涂，这些都是隐形环节。</w:t>
      </w:r>
    </w:p>
    <w:p>
      <w:pPr>
        <w:pStyle w:val="ablt93"/>
        <w:numPr/>
        <w:pBdr/>
        <w:ind/>
        <w:rPr/>
      </w:pPr>
    </w:p>
    <w:p>
      <w:pPr>
        <w:pStyle w:val="jncc4o"/>
        <w:numPr>
          <w:ilvl w:val="0"/>
          <w:numId w:val="2"/>
        </w:numPr>
        <w:pBdr/>
        <w:ind/>
        <w:jc w:val="left"/>
        <w:rPr/>
      </w:pPr>
      <w:r>
        <w:rPr/>
        <w:t>玻璃</w:t>
      </w:r>
    </w:p>
    <w:p>
      <w:pPr>
        <w:pStyle w:val="faizka"/>
        <w:numPr/>
        <w:pBdr>
          <w:bottom/>
        </w:pBdr>
        <w:ind/>
        <w:rPr/>
      </w:pPr>
      <w:r>
        <w:rPr/>
        <w:t>类型</w:t>
      </w:r>
    </w:p>
    <w:tbl>
      <w:tblPr>
        <w:tblStyle w:val="vvufob"/>
        <w:tblLayout w:type="fixed"/>
      </w:tblPr>
      <w:tblGrid>
        <w:gridCol w:w="1333"/>
        <w:gridCol w:w="1597"/>
        <w:gridCol w:w="2485"/>
        <w:gridCol w:w="1935"/>
      </w:tblGrid>
      <w:tr>
        <w:trPr>
          <w:wBefore/>
          <w:trHeight/>
        </w:trPr>
        <w:tc>
          <w:tcPr>
            <w:tcW w:w="1333" w:type="dxa"/>
            <w:tcBorders>
              <w:top w:val="single" w:color="edeef0" w:sz="8" w:space="0"/>
              <w:left w:val="single" w:color="edeef0" w:sz="8" w:space="0"/>
              <w:bottom w:val="single" w:color="edeef0" w:sz="8" w:space="0"/>
              <w:right w:val="single" w:color="edeef0" w:sz="8" w:space="0"/>
            </w:tcBorders>
            <w:shd w:val="clear" w:color="auto" w:fill="F5F6F9"/>
            <w:tcMar>
              <w:top w:w="158" w:type="dxa"/>
              <w:left w:w="240" w:type="dxa"/>
              <w:bottom w:w="113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848691"/>
                <w:spacing w:val="0"/>
                <w:sz w:val="24"/>
                <w:u w:val="none"/>
              </w:rPr>
              <w:t>‌</w:t>
            </w:r>
            <w:r>
              <w:rPr>
                <w:rFonts w:ascii="" w:hAnsi="" w:eastAsia="" w:cs=""/>
                <w:b/>
                <w:i w:val="false"/>
                <w:strike w:val="false"/>
                <w:color w:val="848691"/>
                <w:spacing w:val="0"/>
                <w:sz w:val="24"/>
                <w:u w:val="none"/>
              </w:rPr>
              <w:t>类型</w:t>
            </w:r>
            <w:r>
              <w:rPr>
                <w:rFonts w:ascii="" w:hAnsi="" w:eastAsia="" w:cs=""/>
                <w:i w:val="false"/>
                <w:strike w:val="false"/>
                <w:color w:val="848691"/>
                <w:spacing w:val="0"/>
                <w:sz w:val="24"/>
                <w:u w:val="none"/>
              </w:rPr>
              <w:t>‌</w:t>
            </w:r>
          </w:p>
        </w:tc>
        <w:tc>
          <w:tcPr>
            <w:tcW w:w="1597" w:type="dxa"/>
            <w:tcBorders>
              <w:top w:val="single" w:color="edeef0" w:sz="8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5F6F9"/>
            <w:tcMar>
              <w:top w:w="158" w:type="dxa"/>
              <w:left w:w="240" w:type="dxa"/>
              <w:bottom w:w="113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848691"/>
                <w:spacing w:val="0"/>
                <w:sz w:val="24"/>
                <w:u w:val="none"/>
              </w:rPr>
              <w:t>‌</w:t>
            </w:r>
            <w:r>
              <w:rPr>
                <w:rFonts w:ascii="" w:hAnsi="" w:eastAsia="" w:cs=""/>
                <w:b/>
                <w:i w:val="false"/>
                <w:strike w:val="false"/>
                <w:color w:val="848691"/>
                <w:spacing w:val="0"/>
                <w:sz w:val="24"/>
                <w:u w:val="none"/>
              </w:rPr>
              <w:t>透光率</w:t>
            </w:r>
            <w:r>
              <w:rPr>
                <w:rFonts w:ascii="" w:hAnsi="" w:eastAsia="" w:cs=""/>
                <w:i w:val="false"/>
                <w:strike w:val="false"/>
                <w:color w:val="848691"/>
                <w:spacing w:val="0"/>
                <w:sz w:val="24"/>
                <w:u w:val="none"/>
              </w:rPr>
              <w:t>‌</w:t>
            </w:r>
          </w:p>
        </w:tc>
        <w:tc>
          <w:tcPr>
            <w:tcW w:w="2485" w:type="dxa"/>
            <w:tcBorders>
              <w:top w:val="single" w:color="edeef0" w:sz="8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5F6F9"/>
            <w:tcMar>
              <w:top w:w="158" w:type="dxa"/>
              <w:left w:w="240" w:type="dxa"/>
              <w:bottom w:w="113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848691"/>
                <w:spacing w:val="0"/>
                <w:sz w:val="24"/>
                <w:u w:val="none"/>
              </w:rPr>
              <w:t>‌</w:t>
            </w:r>
            <w:r>
              <w:rPr>
                <w:rFonts w:ascii="" w:hAnsi="" w:eastAsia="" w:cs=""/>
                <w:b/>
                <w:i w:val="false"/>
                <w:strike w:val="false"/>
                <w:color w:val="848691"/>
                <w:spacing w:val="0"/>
                <w:sz w:val="24"/>
                <w:u w:val="none"/>
              </w:rPr>
              <w:t>视觉效果</w:t>
            </w:r>
            <w:r>
              <w:rPr>
                <w:rFonts w:ascii="" w:hAnsi="" w:eastAsia="" w:cs=""/>
                <w:i w:val="false"/>
                <w:strike w:val="false"/>
                <w:color w:val="848691"/>
                <w:spacing w:val="0"/>
                <w:sz w:val="24"/>
                <w:u w:val="none"/>
              </w:rPr>
              <w:t>‌</w:t>
            </w:r>
          </w:p>
        </w:tc>
        <w:tc>
          <w:tcPr>
            <w:tcW w:w="1935" w:type="dxa"/>
            <w:tcBorders>
              <w:top w:val="single" w:color="edeef0" w:sz="8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5F6F9"/>
            <w:tcMar>
              <w:top w:w="158" w:type="dxa"/>
              <w:left w:w="240" w:type="dxa"/>
              <w:bottom w:w="113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848691"/>
                <w:spacing w:val="0"/>
                <w:sz w:val="24"/>
                <w:u w:val="none"/>
              </w:rPr>
              <w:t>‌</w:t>
            </w:r>
            <w:r>
              <w:rPr>
                <w:rFonts w:ascii="" w:hAnsi="" w:eastAsia="" w:cs=""/>
                <w:b/>
                <w:i w:val="false"/>
                <w:strike w:val="false"/>
                <w:color w:val="848691"/>
                <w:spacing w:val="0"/>
                <w:sz w:val="24"/>
                <w:u w:val="none"/>
              </w:rPr>
              <w:t>紫外线透过率</w:t>
            </w:r>
            <w:r>
              <w:rPr>
                <w:rFonts w:ascii="" w:hAnsi="" w:eastAsia="" w:cs=""/>
                <w:i w:val="false"/>
                <w:strike w:val="false"/>
                <w:color w:val="848691"/>
                <w:spacing w:val="0"/>
                <w:sz w:val="24"/>
                <w:u w:val="none"/>
              </w:rPr>
              <w:t>‌</w:t>
            </w:r>
          </w:p>
        </w:tc>
      </w:tr>
      <w:tr>
        <w:trPr>
          <w:wBefore/>
          <w:trHeight/>
        </w:trPr>
        <w:tc>
          <w:tcPr>
            <w:tcW w:w="1333" w:type="dxa"/>
            <w:tcBorders>
              <w:top w:val="single" w:color="edeef0" w:sz="0" w:space="0"/>
              <w:left w:val="single" w:color="edeef0" w:sz="8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‌</w:t>
            </w:r>
            <w:r>
              <w:rPr>
                <w:rFonts w:ascii="" w:hAnsi="" w:eastAsia="" w:cs=""/>
                <w:b/>
                <w:i w:val="false"/>
                <w:strike w:val="false"/>
                <w:color w:val="333333"/>
                <w:spacing w:val="0"/>
                <w:sz w:val="24"/>
                <w:u w:val="none"/>
              </w:rPr>
              <w:t>超白玻</w:t>
            </w: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‌</w:t>
            </w:r>
          </w:p>
        </w:tc>
        <w:tc>
          <w:tcPr>
            <w:tcW w:w="1597" w:type="dxa"/>
            <w:tcBorders>
              <w:top w:val="single" w:color="edeef0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≥91.5%</w:t>
            </w:r>
          </w:p>
        </w:tc>
        <w:tc>
          <w:tcPr>
            <w:tcW w:w="2485" w:type="dxa"/>
            <w:tcBorders>
              <w:top w:val="single" w:color="edeef0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无色透明，无绿边，水晶质感</w:t>
            </w:r>
          </w:p>
        </w:tc>
        <w:tc>
          <w:tcPr>
            <w:tcW w:w="1935" w:type="dxa"/>
            <w:tcBorders>
              <w:top w:val="single" w:color="edeef0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高达75%</w:t>
            </w:r>
          </w:p>
        </w:tc>
      </w:tr>
      <w:tr>
        <w:trPr>
          <w:wBefore/>
          <w:trHeight/>
        </w:trPr>
        <w:tc>
          <w:tcPr>
            <w:tcW w:w="1333" w:type="dxa"/>
            <w:tcBorders>
              <w:top w:val="single" w:color="edeef0" w:sz="0" w:space="0"/>
              <w:left w:val="single" w:color="edeef0" w:sz="8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‌</w:t>
            </w:r>
            <w:r>
              <w:rPr>
                <w:rFonts w:ascii="" w:hAnsi="" w:eastAsia="" w:cs=""/>
                <w:b/>
                <w:i w:val="false"/>
                <w:strike w:val="false"/>
                <w:color w:val="333333"/>
                <w:spacing w:val="0"/>
                <w:sz w:val="24"/>
                <w:u w:val="none"/>
              </w:rPr>
              <w:t>LOW-E玻璃</w:t>
            </w: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‌</w:t>
            </w:r>
          </w:p>
        </w:tc>
        <w:tc>
          <w:tcPr>
            <w:tcW w:w="1597" w:type="dxa"/>
            <w:tcBorders>
              <w:top w:val="single" w:color="edeef0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80%-90%</w:t>
            </w:r>
          </w:p>
        </w:tc>
        <w:tc>
          <w:tcPr>
            <w:tcW w:w="2485" w:type="dxa"/>
            <w:tcBorders>
              <w:top w:val="single" w:color="edeef0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轻微反光，高透型接近超白效果</w:t>
            </w:r>
          </w:p>
        </w:tc>
        <w:tc>
          <w:tcPr>
            <w:tcW w:w="1935" w:type="dxa"/>
            <w:tcBorders>
              <w:top w:val="single" w:color="edeef0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≤25%</w:t>
            </w:r>
          </w:p>
        </w:tc>
      </w:tr>
    </w:tbl>
    <w:p>
      <w:pPr>
        <w:numPr/>
        <w:snapToGrid/>
        <w:spacing w:before="0" w:after="0" w:line="210"/>
        <w:ind w:left="45" w:right="45" w:hanging="0"/>
        <w:jc w:val="left"/>
        <w:rPr/>
      </w:pPr>
      <w:r>
        <w:rPr>
          <w:rFonts w:ascii="PingFang SC" w:hAnsi="PingFang SC" w:cs="PingFang SC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采光差户型（如低楼层、北向）必选超白玻；西晒户型需LOW-E阻隔热辐射</w:t>
      </w:r>
    </w:p>
    <w:p>
      <w:pPr>
        <w:pStyle w:val="ablt93"/>
        <w:numPr/>
        <w:ind/>
        <w:rPr/>
      </w:pPr>
    </w:p>
    <w:tbl>
      <w:tblPr>
        <w:tblStyle w:val="vvufob"/>
        <w:tblLayout w:type="fixed"/>
      </w:tblPr>
      <w:tblGrid>
        <w:gridCol w:w="1470"/>
        <w:gridCol w:w="2415"/>
        <w:gridCol w:w="3481"/>
      </w:tblGrid>
      <w:tr>
        <w:trPr>
          <w:wBefore/>
          <w:trHeight/>
        </w:trPr>
        <w:tc>
          <w:tcPr>
            <w:tcW w:w="1470" w:type="dxa"/>
            <w:tcBorders>
              <w:top w:val="single" w:color="edeef0" w:sz="8" w:space="0"/>
              <w:left w:val="single" w:color="edeef0" w:sz="8" w:space="0"/>
              <w:bottom w:val="single" w:color="edeef0" w:sz="8" w:space="0"/>
              <w:right w:val="single" w:color="edeef0" w:sz="8" w:space="0"/>
            </w:tcBorders>
            <w:shd w:val="clear" w:color="auto" w:fill="F5F6F9"/>
            <w:tcMar>
              <w:top w:w="158" w:type="dxa"/>
              <w:left w:w="240" w:type="dxa"/>
              <w:bottom w:w="113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</w:p>
        </w:tc>
        <w:tc>
          <w:tcPr>
            <w:tcW w:w="2415" w:type="dxa"/>
            <w:tcBorders>
              <w:top w:val="single" w:color="edeef0" w:sz="8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5F6F9"/>
            <w:tcMar>
              <w:top w:w="158" w:type="dxa"/>
              <w:left w:w="240" w:type="dxa"/>
              <w:bottom w:w="113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848691"/>
                <w:spacing w:val="0"/>
                <w:sz w:val="24"/>
                <w:u w:val="none"/>
              </w:rPr>
              <w:t>‌</w:t>
            </w:r>
            <w:r>
              <w:rPr>
                <w:rFonts w:ascii="" w:hAnsi="" w:eastAsia="" w:cs=""/>
                <w:b/>
                <w:i w:val="false"/>
                <w:strike w:val="false"/>
                <w:color w:val="848691"/>
                <w:spacing w:val="0"/>
                <w:sz w:val="24"/>
                <w:u w:val="none"/>
              </w:rPr>
              <w:t>超白玻</w:t>
            </w:r>
            <w:r>
              <w:rPr>
                <w:rFonts w:ascii="" w:hAnsi="" w:eastAsia="" w:cs=""/>
                <w:i w:val="false"/>
                <w:strike w:val="false"/>
                <w:color w:val="848691"/>
                <w:spacing w:val="0"/>
                <w:sz w:val="24"/>
                <w:u w:val="none"/>
              </w:rPr>
              <w:t>‌</w:t>
            </w:r>
          </w:p>
        </w:tc>
        <w:tc>
          <w:tcPr>
            <w:tcW w:w="3481" w:type="dxa"/>
            <w:tcBorders>
              <w:top w:val="single" w:color="edeef0" w:sz="8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5F6F9"/>
            <w:tcMar>
              <w:top w:w="158" w:type="dxa"/>
              <w:left w:w="240" w:type="dxa"/>
              <w:bottom w:w="113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848691"/>
                <w:spacing w:val="0"/>
                <w:sz w:val="24"/>
                <w:u w:val="none"/>
              </w:rPr>
              <w:t>‌</w:t>
            </w:r>
            <w:r>
              <w:rPr>
                <w:rFonts w:ascii="" w:hAnsi="" w:eastAsia="" w:cs=""/>
                <w:b/>
                <w:i w:val="false"/>
                <w:strike w:val="false"/>
                <w:color w:val="848691"/>
                <w:spacing w:val="0"/>
                <w:sz w:val="24"/>
                <w:u w:val="none"/>
              </w:rPr>
              <w:t>LOW-E玻璃</w:t>
            </w:r>
            <w:r>
              <w:rPr>
                <w:rFonts w:ascii="" w:hAnsi="" w:eastAsia="" w:cs=""/>
                <w:i w:val="false"/>
                <w:strike w:val="false"/>
                <w:color w:val="848691"/>
                <w:spacing w:val="0"/>
                <w:sz w:val="24"/>
                <w:u w:val="none"/>
              </w:rPr>
              <w:t>‌</w:t>
            </w:r>
          </w:p>
        </w:tc>
      </w:tr>
      <w:tr>
        <w:trPr>
          <w:wBefore/>
          <w:trHeight/>
        </w:trPr>
        <w:tc>
          <w:tcPr>
            <w:tcW w:w="1470" w:type="dxa"/>
            <w:tcBorders>
              <w:top w:val="single" w:color="edeef0" w:sz="0" w:space="0"/>
              <w:left w:val="single" w:color="edeef0" w:sz="8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‌</w:t>
            </w:r>
            <w:r>
              <w:rPr>
                <w:rFonts w:ascii="" w:hAnsi="" w:eastAsia="" w:cs=""/>
                <w:b/>
                <w:i w:val="false"/>
                <w:strike w:val="false"/>
                <w:color w:val="333333"/>
                <w:spacing w:val="0"/>
                <w:sz w:val="24"/>
                <w:u w:val="none"/>
              </w:rPr>
              <w:t>夏季隔热</w:t>
            </w: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‌</w:t>
            </w:r>
          </w:p>
        </w:tc>
        <w:tc>
          <w:tcPr>
            <w:tcW w:w="2415" w:type="dxa"/>
            <w:tcBorders>
              <w:top w:val="single" w:color="edeef0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弱（室温升高明显）</w:t>
            </w:r>
          </w:p>
        </w:tc>
        <w:tc>
          <w:tcPr>
            <w:tcW w:w="3481" w:type="dxa"/>
            <w:tcBorders>
              <w:top w:val="single" w:color="edeef0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阻断70%热量，降温3-5℃</w:t>
            </w:r>
          </w:p>
        </w:tc>
      </w:tr>
      <w:tr>
        <w:trPr>
          <w:wBefore/>
          <w:trHeight/>
        </w:trPr>
        <w:tc>
          <w:tcPr>
            <w:tcW w:w="1470" w:type="dxa"/>
            <w:tcBorders>
              <w:top w:val="single" w:color="edeef0" w:sz="0" w:space="0"/>
              <w:left w:val="single" w:color="edeef0" w:sz="8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‌</w:t>
            </w:r>
            <w:r>
              <w:rPr>
                <w:rFonts w:ascii="" w:hAnsi="" w:eastAsia="" w:cs=""/>
                <w:b/>
                <w:i w:val="false"/>
                <w:strike w:val="false"/>
                <w:color w:val="333333"/>
                <w:spacing w:val="0"/>
                <w:sz w:val="24"/>
                <w:u w:val="none"/>
              </w:rPr>
              <w:t>冬季保温</w:t>
            </w: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‌</w:t>
            </w:r>
          </w:p>
        </w:tc>
        <w:tc>
          <w:tcPr>
            <w:tcW w:w="2415" w:type="dxa"/>
            <w:tcBorders>
              <w:top w:val="single" w:color="edeef0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热量流失快</w:t>
            </w:r>
          </w:p>
        </w:tc>
        <w:tc>
          <w:tcPr>
            <w:tcW w:w="3481" w:type="dxa"/>
            <w:tcBorders>
              <w:top w:val="single" w:color="edeef0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减少30%热量流失</w:t>
            </w:r>
          </w:p>
        </w:tc>
      </w:tr>
      <w:tr>
        <w:trPr>
          <w:wBefore/>
          <w:trHeight/>
        </w:trPr>
        <w:tc>
          <w:tcPr>
            <w:tcW w:w="1470" w:type="dxa"/>
            <w:tcBorders>
              <w:top w:val="single" w:color="edeef0" w:sz="0" w:space="0"/>
              <w:left w:val="single" w:color="edeef0" w:sz="8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‌</w:t>
            </w:r>
            <w:r>
              <w:rPr>
                <w:rFonts w:ascii="" w:hAnsi="" w:eastAsia="" w:cs=""/>
                <w:b/>
                <w:i w:val="false"/>
                <w:strike w:val="false"/>
                <w:color w:val="333333"/>
                <w:spacing w:val="0"/>
                <w:sz w:val="24"/>
                <w:u w:val="none"/>
              </w:rPr>
              <w:t>空调节能</w:t>
            </w: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‌</w:t>
            </w:r>
          </w:p>
        </w:tc>
        <w:tc>
          <w:tcPr>
            <w:tcW w:w="2415" w:type="dxa"/>
            <w:tcBorders>
              <w:top w:val="single" w:color="edeef0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无优化</w:t>
            </w:r>
          </w:p>
        </w:tc>
        <w:tc>
          <w:tcPr>
            <w:tcW w:w="3481" w:type="dxa"/>
            <w:tcBorders>
              <w:top w:val="single" w:color="edeef0" w:sz="0" w:space="0"/>
              <w:left w:val="single" w:color="edeef0" w:sz="0" w:space="0"/>
              <w:bottom w:val="single" w:color="edeef0" w:sz="8" w:space="0"/>
              <w:right w:val="single" w:color="edeef0" w:sz="8" w:space="0"/>
            </w:tcBorders>
            <w:shd w:val="clear" w:color="auto" w:fill="FFFFFF"/>
            <w:tcMar>
              <w:top w:w="158" w:type="dxa"/>
              <w:left w:w="240" w:type="dxa"/>
              <w:bottom w:w="158" w:type="dxa"/>
              <w:right w:w="240" w:type="dxa"/>
            </w:tcMar>
            <w:vAlign w:val="center"/>
          </w:tcPr>
          <w:p>
            <w:pPr>
              <w:numPr/>
              <w:snapToGrid/>
              <w:spacing w:before="0" w:after="0" w:line="240"/>
              <w:ind/>
              <w:jc w:val="left"/>
              <w:rPr>
                <w:rFonts w:ascii="" w:hAnsi="" w:eastAsia="" w:cs=""/>
              </w:rPr>
            </w:pPr>
            <w:r>
              <w:rPr>
                <w:rFonts w:ascii="" w:hAnsi="" w:eastAsia="" w:cs=""/>
                <w:i w:val="false"/>
                <w:strike w:val="false"/>
                <w:color w:val="333333"/>
                <w:spacing w:val="0"/>
                <w:sz w:val="24"/>
                <w:u w:val="none"/>
              </w:rPr>
              <w:t>降低能耗30%-50%</w:t>
            </w:r>
          </w:p>
        </w:tc>
      </w:tr>
    </w:tbl>
    <w:p>
      <w:pPr>
        <w:numPr/>
        <w:pBdr/>
        <w:snapToGrid/>
        <w:spacing w:before="0" w:after="0" w:line="210"/>
        <w:ind w:left="45" w:right="45" w:hanging="0"/>
        <w:jc w:val="left"/>
        <w:rPr>
          <w:rFonts w:ascii="PingFang SC" w:hAnsi="PingFang SC" w:cs="PingFang SC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PingFang SC" w:hAnsi="PingFang SC" w:cs="PingFang SC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‌</w:t>
      </w:r>
      <w:r>
        <w:rPr>
          <w:rFonts w:ascii="PingFang SC" w:hAnsi="PingFang SC" w:cs="PingFang SC"/>
          <w:b/>
          <w:i w:val="false"/>
          <w:strike w:val="false"/>
          <w:color w:val="333333"/>
          <w:spacing w:val="0"/>
          <w:sz w:val="24"/>
          <w:u w:val="none"/>
        </w:rPr>
        <w:t>原理</w:t>
      </w:r>
      <w:r>
        <w:rPr>
          <w:rFonts w:ascii="PingFang SC" w:hAnsi="PingFang SC" w:cs="PingFang SC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‌：LOW-E镀膜反射红外线，辐射率仅0.15（普玻0.84）</w:t>
      </w:r>
    </w:p>
    <w:p>
      <w:pPr>
        <w:numPr/>
        <w:pBdr/>
        <w:snapToGrid/>
        <w:spacing w:before="0" w:after="0" w:line="210"/>
        <w:ind w:left="45" w:right="45" w:hanging="0"/>
        <w:jc w:val="left"/>
        <w:rPr>
          <w:rFonts w:ascii="PingFang SC" w:hAnsi="PingFang SC" w:cs="PingFang SC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</w:p>
    <w:p>
      <w:pPr>
        <w:numPr/>
        <w:pBdr/>
        <w:snapToGrid/>
        <w:spacing w:before="0" w:after="0" w:line="210"/>
        <w:ind w:left="45" w:right="45" w:hanging="0"/>
        <w:jc w:val="left"/>
        <w:rPr/>
      </w:pPr>
    </w:p>
    <w:p>
      <w:pPr>
        <w:numPr/>
        <w:pBdr/>
        <w:snapToGrid/>
        <w:spacing w:before="0" w:after="0" w:line="210"/>
        <w:ind w:left="45" w:right="45" w:hanging="0"/>
        <w:jc w:val="left"/>
        <w:rPr>
          <w:rFonts w:ascii="PingFang SC" w:hAnsi="PingFang SC" w:cs="PingFang SC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PingFang SC" w:hAnsi="PingFang SC" w:cs="PingFang SC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终极方案</w:t>
      </w:r>
      <w:r>
        <w:rPr>
          <w:rFonts w:ascii="PingFang SC" w:hAnsi="PingFang SC" w:cs="PingFang SC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：超白玻+LOW-E镀膜，预算拉满。</w:t>
      </w:r>
    </w:p>
    <w:p>
      <w:pPr>
        <w:numPr/>
        <w:pBdr/>
        <w:snapToGrid/>
        <w:spacing w:before="0" w:after="0" w:line="210"/>
        <w:ind w:left="45" w:right="45" w:hanging="0"/>
        <w:jc w:val="left"/>
        <w:rPr/>
      </w:pPr>
    </w:p>
    <w:p>
      <w:pPr>
        <w:pStyle w:val="faizka"/>
        <w:numPr/>
        <w:pBdr/>
        <w:ind/>
        <w:rPr/>
      </w:pPr>
      <w:r>
        <w:rPr/>
        <w:t>结构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7680113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断桥窗标配的是中空玻璃，由两片玻璃组成，中间加入铝隔条支撑玻璃，铝隔条中填充3A分子筛材干燥剂，用丁基胶包边，最后用结构胶密封。</w:t>
      </w:r>
    </w:p>
    <w:p>
      <w:pPr>
        <w:pStyle w:val="ablt93"/>
        <w:numPr/>
        <w:pBdr/>
        <w:ind/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</w:p>
    <w:p>
      <w:pPr>
        <w:pStyle w:val="ablt93"/>
        <w:numPr/>
        <w:pBdr/>
        <w:ind/>
        <w:rPr>
          <w:rFonts w:ascii="system-ui" w:hAnsi="system-ui" w:cs="system-ui"/>
          <w:b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system-ui" w:hAnsi="system-ui" w:cs="system-ui"/>
          <w:b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所谓5+20A+5玻璃，即两片5MM厚玻璃，中空20MM。“A”代表“Air”，即空气。</w:t>
      </w:r>
    </w:p>
    <w:p>
      <w:pPr>
        <w:pStyle w:val="ablt93"/>
        <w:numPr/>
        <w:pBdr/>
        <w:ind/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</w:p>
    <w:p>
      <w:pPr>
        <w:pStyle w:val="ablt93"/>
        <w:numPr/>
        <w:pBdr/>
        <w:ind/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需要隔音就选夹胶玻璃。夹胶玻璃的中间夹层：分为PVB和GBP两种类型，PVB耐水性较差，GBP则更坚固且防水，但成本较高。</w:t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b/>
          <w:i w:val="false"/>
          <w:strike w:val="false"/>
          <w:color w:val="000000"/>
          <w:u w:val="none"/>
        </w:rPr>
      </w:pPr>
      <w:r>
        <w:rPr>
          <w:b/>
          <w:i w:val="false"/>
          <w:strike w:val="false"/>
          <w:color w:val="000000"/>
          <w:u w:val="none"/>
        </w:rPr>
        <w:t>如果小区是在公园、马路边的，选三层玻璃的确实能降低噪音，否则的话选两层的就够了，性价比更高。</w:t>
      </w:r>
    </w:p>
    <w:p>
      <w:pPr>
        <w:pStyle w:val="ablt93"/>
        <w:numP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b/>
          <w:i w:val="false"/>
          <w:strike w:val="false"/>
          <w:color w:val="000000"/>
          <w:u w:val="none"/>
        </w:rPr>
        <w:t>注意一定是要选择带有3C认证的钢化玻璃</w:t>
      </w:r>
      <w:r>
        <w:rPr>
          <w:i w:val="false"/>
          <w:strike w:val="false"/>
          <w:color w:val="000000"/>
          <w:u w:val="none"/>
        </w:rPr>
        <w:t>，且要用钥匙划拉看是否能划掉，能划掉的千万别用。玻璃厚度选正5mm的，到货后一定要自己量一下，别被商家用薄的忽悠了。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4381500" cy="4458481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4381500" cy="445848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ind/>
        <w:rPr/>
      </w:pPr>
      <w:r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关于是否充填氩气</w:t>
      </w:r>
    </w:p>
    <w:p>
      <w:pPr>
        <w:numPr/>
        <w:pBdr/>
        <w:ind/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system-ui" w:hAnsi="system-ui" w:cs="system-ui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系统窗：建议充填氩气，因为成本增加不多，却能提升玻璃的安全性、稳定性和隔热隔音效果。</w:t>
      </w:r>
    </w:p>
    <w:p>
      <w:pPr>
        <w:numPr/>
        <w:pBdr/>
        <w:ind/>
        <w:rPr/>
      </w:pPr>
    </w:p>
    <w:p>
      <w:pPr>
        <w:pStyle w:val="faizka"/>
        <w:numPr/>
        <w:pBdr/>
        <w:ind/>
        <w:rPr/>
      </w:pPr>
      <w:r>
        <w:rPr/>
        <w:t>厚度</w:t>
      </w:r>
    </w:p>
    <w:p>
      <w:pPr>
        <w:pStyle w:val="ablt93"/>
        <w:numPr/>
        <w:ind/>
        <w:rPr/>
      </w:pPr>
      <w:r>
        <w:rPr/>
        <w:t>‌玻璃厚度（mm）≈ 单块玻璃面积（㎡）× 2‌</w:t>
      </w:r>
    </w:p>
    <w:p>
      <w:pPr>
        <w:pStyle w:val="ablt93"/>
        <w:numPr/>
        <w:ind/>
        <w:rPr/>
      </w:pPr>
      <w:r>
        <w:rPr/>
        <w:t>例如：‌2㎡以下‌ → 5mm玻璃（如小卫生间窗）</w:t>
      </w:r>
    </w:p>
    <w:p>
      <w:pPr>
        <w:pStyle w:val="ablt93"/>
        <w:numPr/>
        <w:ind/>
        <w:rPr/>
      </w:pPr>
      <w:r>
        <w:rPr/>
        <w:t>‌2-3.5㎡‌ → 6mm玻璃（常见卧室窗）</w:t>
      </w:r>
    </w:p>
    <w:p>
      <w:pPr>
        <w:pStyle w:val="ablt93"/>
        <w:numPr/>
        <w:ind/>
        <w:rPr/>
      </w:pPr>
      <w:r>
        <w:rPr/>
        <w:t>‌3.5-4.5㎡‌ → 8mm玻璃（客厅大窗）</w:t>
      </w:r>
    </w:p>
    <w:p>
      <w:pPr>
        <w:pStyle w:val="ablt93"/>
        <w:numPr/>
        <w:ind/>
        <w:rPr/>
      </w:pPr>
      <w:r>
        <w:rPr/>
        <w:t>‌＞5㎡‌ → 10-12mm或夹层玻璃（超大落地窗）</w:t>
      </w:r>
    </w:p>
    <w:p>
      <w:pPr>
        <w:pStyle w:val="ablt93"/>
        <w:numPr/>
        <w:pBdr/>
        <w:ind/>
        <w:rPr>
          <w:b/>
        </w:rPr>
      </w:pPr>
      <w:r>
        <w:rPr/>
        <w:t>‌</w:t>
      </w:r>
      <w:r>
        <w:rPr>
          <w:b/>
        </w:rPr>
        <w:t>原理‌：面积增大1倍，厚度需增加40%抗风压</w:t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rFonts w:ascii="PingFang SC" w:hAnsi="PingFang SC" w:cs="PingFang SC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PingFang SC" w:hAnsi="PingFang SC" w:cs="PingFang SC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面积＞1.5㎡或7层以上外开窗，必须用钢化玻璃（带3C认证）</w:t>
      </w:r>
    </w:p>
    <w:p>
      <w:pPr>
        <w:pStyle w:val="ablt93"/>
        <w:numPr/>
        <w:pBdr/>
        <w:ind/>
        <w:rPr>
          <w:rFonts w:ascii="PingFang SC" w:hAnsi="PingFang SC" w:cs="PingFang SC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</w:p>
    <w:p>
      <w:pPr>
        <w:pStyle w:val="faizka"/>
        <w:numPr/>
        <w:pBdr/>
        <w:ind/>
        <w:rPr/>
      </w:pPr>
      <w:r>
        <w:rPr/>
        <w:t>品牌:福耀、南玻、台玻、信义等</w:t>
      </w:r>
    </w:p>
    <w:p>
      <w:pPr>
        <w:pStyle w:val="ablt93"/>
        <w:numPr/>
        <w:pBdr/>
        <w:ind/>
        <w:rPr/>
      </w:pPr>
    </w:p>
    <w:p>
      <w:pPr>
        <w:pStyle w:val="jncc4o"/>
        <w:numPr/>
        <w:pBdr/>
        <w:ind/>
        <w:rPr/>
      </w:pPr>
      <w:r>
        <w:rPr/>
        <w:t>三、五金</w:t>
      </w:r>
    </w:p>
    <w:p>
      <w:pPr>
        <w:pStyle w:val="ablt93"/>
        <w:numPr/>
        <w:ind/>
        <w:rPr/>
      </w:pPr>
    </w:p>
    <w:p>
      <w:pPr>
        <w:pStyle w:val="faizka"/>
        <w:numPr/>
        <w:ind/>
        <w:rPr/>
      </w:pPr>
      <w:r>
        <w:rPr/>
        <w:t>‌承重铰链（合页）‌</w:t>
      </w:r>
    </w:p>
    <w:p>
      <w:pPr>
        <w:pStyle w:val="ablt93"/>
        <w:numPr/>
        <w:ind/>
        <w:rPr/>
      </w:pPr>
      <w:r>
        <w:rPr/>
        <w:t>‌材质必选‌：304不锈钢或铜合金，厚度≥3mm，避免塑料部件</w:t>
      </w:r>
    </w:p>
    <w:p>
      <w:pPr>
        <w:pStyle w:val="ablt93"/>
        <w:numPr/>
        <w:ind/>
        <w:rPr/>
      </w:pPr>
      <w:r>
        <w:rPr/>
        <w:t>‌承重能力‌：单点需支持≥180斤（如大扇窗选"大承重可调角链"）</w:t>
      </w:r>
    </w:p>
    <w:p>
      <w:pPr>
        <w:pStyle w:val="ablt93"/>
        <w:numPr/>
        <w:pBdr/>
        <w:ind/>
        <w:rPr/>
      </w:pPr>
      <w:r>
        <w:rPr/>
        <w:t>‌隐藏式设计‌：取代明合页，保证整窗密封条完整性</w:t>
      </w:r>
    </w:p>
    <w:p>
      <w:pPr>
        <w:pStyle w:val="ablt93"/>
        <w:numPr/>
        <w:ind/>
        <w:rPr/>
      </w:pPr>
    </w:p>
    <w:p>
      <w:pPr>
        <w:pStyle w:val="faizka"/>
        <w:numPr/>
        <w:ind/>
        <w:rPr/>
      </w:pPr>
      <w:r>
        <w:rPr/>
        <w:t>‌传动锁闭器‌</w:t>
      </w:r>
    </w:p>
    <w:p>
      <w:pPr>
        <w:pStyle w:val="ablt93"/>
        <w:numPr/>
        <w:ind/>
        <w:rPr/>
      </w:pPr>
      <w:r>
        <w:rPr/>
        <w:t>‌锁点数量‌：每扇窗至少4个锁点（含合页侧附加锁点）</w:t>
      </w:r>
    </w:p>
    <w:p>
      <w:pPr>
        <w:pStyle w:val="ablt93"/>
        <w:numPr/>
        <w:ind/>
        <w:rPr/>
      </w:pPr>
      <w:r>
        <w:rPr/>
        <w:t>‌联动结构‌：选锁盒式（类似防盗门锁体），拒绝简易拨叉式</w:t>
      </w:r>
    </w:p>
    <w:p>
      <w:pPr>
        <w:pStyle w:val="ablt93"/>
        <w:numPr/>
        <w:pBdr/>
        <w:ind/>
        <w:rPr/>
      </w:pPr>
      <w:r>
        <w:rPr/>
        <w:t>‌</w:t>
      </w:r>
    </w:p>
    <w:p>
      <w:pPr>
        <w:pStyle w:val="faizka"/>
        <w:numPr/>
        <w:ind/>
        <w:rPr/>
      </w:pPr>
      <w:r>
        <w:rPr/>
        <w:t>执手（把手）‌</w:t>
      </w:r>
    </w:p>
    <w:p>
      <w:pPr>
        <w:pStyle w:val="ablt93"/>
        <w:numPr/>
        <w:ind/>
        <w:rPr/>
      </w:pPr>
      <w:r>
        <w:rPr/>
        <w:t>‌联动性‌：方轴要插入锁盒</w:t>
      </w:r>
    </w:p>
    <w:p>
      <w:pPr>
        <w:pStyle w:val="ablt93"/>
        <w:numPr/>
        <w:ind/>
        <w:rPr/>
      </w:pPr>
      <w:r>
        <w:rPr/>
        <w:t>‌</w:t>
      </w:r>
    </w:p>
    <w:p>
      <w:pPr>
        <w:pStyle w:val="faizka"/>
        <w:numPr/>
        <w:pBdr/>
        <w:ind/>
        <w:rPr/>
      </w:pPr>
      <w:r>
        <w:rPr/>
        <w:t>品牌</w:t>
      </w:r>
    </w:p>
    <w:p>
      <w:pPr>
        <w:pStyle w:val="ablt93"/>
        <w:numPr/>
        <w:pBdr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国产就选希美克、斯坦福、瑞纳斯、捷度五金，不要去选杂牌假德国五金</w:t>
      </w:r>
    </w:p>
    <w:p>
      <w:pPr>
        <w:pStyle w:val="ablt93"/>
        <w:numPr/>
        <w:pBdr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进口品牌：好博(仅执手)、丝吉利娅、诺托、格屋、索宾柯、吉斯</w:t>
      </w:r>
    </w:p>
    <w:p>
      <w:pPr>
        <w:pStyle w:val="ablt93"/>
        <w:numPr/>
        <w:pBdr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国产品牌:深圳好博、捷度、坚朗、派阁、国强、春光</w:t>
      </w:r>
    </w:p>
    <w:p>
      <w:pPr>
        <w:pStyle w:val="ablt93"/>
        <w:numPr/>
        <w:pBdr/>
        <w:ind/>
        <w:rPr/>
      </w:pPr>
    </w:p>
    <w:p>
      <w:pPr>
        <w:pStyle w:val="jncc4o"/>
        <w:numPr/>
        <w:pBdr/>
        <w:ind/>
        <w:rPr/>
      </w:pPr>
      <w:r>
        <w:rPr/>
        <w:t>四、隔热条</w:t>
      </w:r>
    </w:p>
    <w:p>
      <w:pPr>
        <w:pStyle w:val="ablt93"/>
        <w:numPr/>
        <w:pBdr/>
        <w:ind/>
        <w:rPr/>
      </w:pPr>
      <w:r>
        <w:rPr/>
        <w:t>隔热条就看 PA66GF25（优先选国产宝泰、优泰的）</w:t>
      </w:r>
    </w:p>
    <w:p>
      <w:pPr>
        <w:pStyle w:val="faizka"/>
        <w:numPr/>
        <w:ind/>
        <w:rPr/>
      </w:pPr>
      <w:r>
        <w:rPr/>
        <w:t>品牌</w:t>
      </w:r>
    </w:p>
    <w:p>
      <w:pPr>
        <w:pStyle w:val="ablt93"/>
        <w:numPr/>
        <w:pBdr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进口:泰诺风、克诺斯、恩欣格、拜耳、亚松、舒茨曼;</w:t>
      </w:r>
    </w:p>
    <w:p>
      <w:pPr>
        <w:pStyle w:val="ablt93"/>
        <w:numPr/>
        <w:pBdr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国产:宝泰、白云、优泰、源发、盈科、融海、科源、信高等;</w:t>
      </w:r>
    </w:p>
    <w:p>
      <w:pPr>
        <w:pStyle w:val="ablt93"/>
        <w:numPr/>
        <w:pBdr/>
        <w:ind/>
        <w:rPr>
          <w:i w:val="false"/>
          <w:strike w:val="false"/>
          <w:spacing w:val="0"/>
          <w:u w:val="none"/>
        </w:rPr>
      </w:pPr>
    </w:p>
    <w:p>
      <w:pPr>
        <w:pStyle w:val="faizka"/>
        <w:numPr/>
        <w:ind/>
        <w:rPr/>
      </w:pPr>
      <w:r>
        <w:rPr/>
        <w:t>类型</w:t>
      </w:r>
    </w:p>
    <w:p>
      <w:pPr>
        <w:pStyle w:val="ablt93"/>
        <w:numPr/>
        <w:pBdr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多腔栅栏型&gt;多腔型&gt;栅栏型&gt;t型&gt;c型&gt;一字型</w:t>
      </w:r>
    </w:p>
    <w:p>
      <w:pPr>
        <w:pStyle w:val="ablt93"/>
        <w:numPr/>
        <w:pBdr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>(现在市面上都说用泰诺风的隔热条，实际上低于1000一平最多用一点点或者用盗版泰诺风，进口隔热条成本过高，商家多是打擦边)</w:t>
      </w:r>
    </w:p>
    <w:p>
      <w:pPr>
        <w:pStyle w:val="ablt93"/>
        <w:numPr/>
        <w:pBdr/>
        <w:ind/>
        <w:rPr/>
      </w:pPr>
    </w:p>
    <w:p>
      <w:pPr>
        <w:pStyle w:val="jncc4o"/>
        <w:numPr/>
        <w:pBdr/>
        <w:ind/>
        <w:rPr/>
      </w:pPr>
      <w:r>
        <w:rPr/>
        <w:t>五、密封条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就选三元乙丙材质，性能稳定寿命长。</w:t>
      </w:r>
    </w:p>
    <w:p>
      <w:pPr>
        <w:pStyle w:val="ablt93"/>
        <w:numPr/>
        <w:pBdr/>
        <w:ind/>
        <w:rPr/>
      </w:pPr>
    </w:p>
    <w:p>
      <w:pPr>
        <w:pStyle w:val="faizka"/>
        <w:numPr/>
        <w:pBdr/>
        <w:ind/>
        <w:rPr/>
      </w:pPr>
      <w:r>
        <w:rPr/>
        <w:t>品牌：江阴海达、新安东</w:t>
      </w:r>
    </w:p>
    <w:p>
      <w:pPr>
        <w:pStyle w:val="ablt93"/>
        <w:numPr/>
        <w:pBdr/>
        <w:ind/>
        <w:rPr/>
      </w:pPr>
    </w:p>
    <w:p>
      <w:pPr>
        <w:pStyle w:val="jncc4o"/>
        <w:numPr/>
        <w:pBdr/>
        <w:ind/>
        <w:rPr/>
      </w:pPr>
      <w:r>
        <w:rPr/>
        <w:t>六、安装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窗户安装是有大学问的，安装的不好，窗户效果会大打折扣。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首先，螺丝可以选择自切螺丝或者拉爆螺丝，不能使用小黄鱼等。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3219450" cy="4292600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219450" cy="42926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>
          <w:bottom/>
        </w:pBdr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螺丝的数量和孔数也很重要，角上15-20cm内打一颗，然后每50cm打一颗螺丝。</w:t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如果不想要窗户下沉，安装窗框的时候，窗框下部要要求商家用水泥砂浆或者微发泡水泥进行填缝。考虑到热胀冷缩的原因，建议北方用水泥砂浆更合适</w:t>
      </w:r>
      <w:r>
        <w:rPr>
          <w:i w:val="false"/>
          <w:strike w:val="false"/>
          <w:color w:val="000000"/>
          <w:u w:val="none"/>
        </w:rPr>
        <w:t>。</w:t>
      </w:r>
    </w:p>
    <w:p>
      <w:pPr>
        <w:pStyle w:val="ablt93"/>
        <w:numPr/>
        <w:ind/>
        <w:rPr/>
      </w:pPr>
    </w:p>
    <w:p>
      <w:pPr>
        <w:pStyle w:val="ablt93"/>
        <w:numPr/>
        <w:pBdr/>
        <w:ind/>
        <w:rPr/>
      </w:pPr>
    </w:p>
    <w:p>
      <w:pPr>
        <w:pStyle w:val="jncc4o"/>
        <w:numPr/>
        <w:pBdr/>
        <w:ind/>
        <w:rPr/>
      </w:pPr>
      <w:r>
        <w:rPr/>
        <w:t>无论如何，窗户安装最好是在现场盯着~最后教大家两个避坑小妙招。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1、签合同  在合同里把材料五金品牌，厚度等细节都写清楚。</w:t>
      </w:r>
    </w:p>
    <w:p>
      <w:pPr>
        <w:pStyle w:val="ablt93"/>
        <w:numPr/>
        <w:ind/>
        <w:rPr/>
      </w:pPr>
      <w:r>
        <w:rPr>
          <w:i w:val="false"/>
          <w:strike w:val="false"/>
          <w:color w:val="000000"/>
          <w:u w:val="none"/>
        </w:rPr>
        <w:t>2、拍照  把样品全都拍下来记录下  隔热条、加强筋用多少根等都拍下来</w:t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numbering.xml><?xml version="1.0" encoding="utf-8"?>
<w:numbering xmlns:w="http://schemas.openxmlformats.org/wordprocessingml/2006/main">
  <w:abstractNum w:abstractNumId="1">
    <w:lvl w:ilvl="8">
      <w:start w:val="1"/>
      <w:numFmt w:val="lowerLetter"/>
      <w:lvlText w:val="%9)"/>
      <w:lvlJc w:val="left"/>
      <w:pPr>
        <w:ind w:left="3856" w:hanging="336"/>
      </w:pPr>
      <w:rPr/>
    </w:lvl>
    <w:lvl w:ilvl="4">
      <w:start w:val="1"/>
      <w:numFmt w:val="decimal"/>
      <w:lvlText w:val="%5、"/>
      <w:lvlJc w:val="left"/>
      <w:pPr>
        <w:ind w:left="2096" w:hanging="336"/>
      </w:pPr>
      <w:rPr/>
    </w:lvl>
    <w:lvl w:ilvl="6">
      <w:start w:val="1"/>
      <w:numFmt w:val="chineseCountingThousand"/>
      <w:lvlText w:val="%7、"/>
      <w:lvlJc w:val="left"/>
      <w:pPr>
        <w:ind w:left="3102" w:hanging="462"/>
      </w:pPr>
      <w:rPr/>
    </w:lvl>
    <w:lvl w:ilvl="0">
      <w:start w:val="2"/>
      <w:numFmt w:val="chineseCountingThousand"/>
      <w:lvlText w:val="%1、"/>
      <w:lvlJc w:val="left"/>
      <w:pPr>
        <w:tabs/>
        <w:ind w:left="462" w:hanging="462"/>
      </w:pPr>
      <w:rPr/>
    </w:lvl>
    <w:lvl w:ilvl="2">
      <w:start w:val="1"/>
      <w:numFmt w:val="lowerLetter"/>
      <w:lvlText w:val="%3)"/>
      <w:lvlJc w:val="left"/>
      <w:pPr>
        <w:ind w:left="1216" w:hanging="336"/>
      </w:pPr>
      <w:rPr/>
    </w:lvl>
    <w:lvl w:ilvl="3">
      <w:start w:val="1"/>
      <w:numFmt w:val="chineseCountingThousand"/>
      <w:lvlText w:val="%4、"/>
      <w:lvlJc w:val="left"/>
      <w:pPr>
        <w:ind w:left="1782" w:hanging="462"/>
      </w:pPr>
      <w:rPr/>
    </w:lvl>
    <w:lvl w:ilvl="5">
      <w:start w:val="1"/>
      <w:numFmt w:val="lowerLetter"/>
      <w:lvlText w:val="%6)"/>
      <w:lvlJc w:val="left"/>
      <w:pPr>
        <w:ind w:left="2536" w:hanging="336"/>
      </w:pPr>
      <w:rPr/>
    </w:lvl>
    <w:lvl w:ilvl="1">
      <w:start w:val="1"/>
      <w:numFmt w:val="decimal"/>
      <w:lvlText w:val="%2、"/>
      <w:lvlJc w:val="left"/>
      <w:pPr>
        <w:ind w:left="776" w:hanging="336"/>
      </w:pPr>
      <w:rPr/>
    </w:lvl>
    <w:lvl w:ilvl="7">
      <w:start w:val="1"/>
      <w:numFmt w:val="decimal"/>
      <w:lvlText w:val="%8、"/>
      <w:lvlJc w:val="left"/>
      <w:pPr>
        <w:ind w:left="3416" w:hanging="336"/>
      </w:pPr>
      <w:rPr/>
    </w:lvl>
  </w:abstractNum>
  <w:abstractNum w:abstractNumId="2">
    <w:lvl w:ilvl="1">
      <w:start w:val="1"/>
      <w:numFmt w:val="decimal"/>
      <w:lvlText w:val="%2、"/>
      <w:lvlJc w:val="left"/>
      <w:pPr>
        <w:ind w:left="776" w:hanging="336"/>
      </w:pPr>
      <w:rPr/>
    </w:lvl>
    <w:lvl w:ilvl="6">
      <w:start w:val="1"/>
      <w:numFmt w:val="chineseCountingThousand"/>
      <w:lvlText w:val="%7、"/>
      <w:lvlJc w:val="left"/>
      <w:pPr>
        <w:ind w:left="3102" w:hanging="462"/>
      </w:pPr>
      <w:rPr/>
    </w:lvl>
    <w:lvl w:ilvl="0">
      <w:start w:val="1"/>
      <w:numFmt w:val="chineseCountingThousand"/>
      <w:lvlText w:val="%1、"/>
      <w:lvlJc w:val="left"/>
      <w:pPr>
        <w:tabs/>
        <w:ind w:left="462" w:hanging="462"/>
      </w:pPr>
      <w:rPr/>
    </w:lvl>
    <w:lvl w:ilvl="7">
      <w:start w:val="1"/>
      <w:numFmt w:val="decimal"/>
      <w:lvlText w:val="%8、"/>
      <w:lvlJc w:val="left"/>
      <w:pPr>
        <w:ind w:left="3416" w:hanging="336"/>
      </w:pPr>
      <w:rPr/>
    </w:lvl>
    <w:lvl w:ilvl="4">
      <w:start w:val="1"/>
      <w:numFmt w:val="decimal"/>
      <w:lvlText w:val="%5、"/>
      <w:lvlJc w:val="left"/>
      <w:pPr>
        <w:ind w:left="2096" w:hanging="336"/>
      </w:pPr>
      <w:rPr/>
    </w:lvl>
    <w:lvl w:ilvl="2">
      <w:start w:val="1"/>
      <w:numFmt w:val="lowerLetter"/>
      <w:lvlText w:val="%3)"/>
      <w:lvlJc w:val="left"/>
      <w:pPr>
        <w:ind w:left="1216" w:hanging="336"/>
      </w:pPr>
      <w:rPr/>
    </w:lvl>
    <w:lvl w:ilvl="8">
      <w:start w:val="1"/>
      <w:numFmt w:val="lowerLetter"/>
      <w:lvlText w:val="%9)"/>
      <w:lvlJc w:val="left"/>
      <w:pPr>
        <w:ind w:left="3856" w:hanging="336"/>
      </w:pPr>
      <w:rPr/>
    </w:lvl>
    <w:lvl w:ilvl="3">
      <w:start w:val="1"/>
      <w:numFmt w:val="chineseCountingThousand"/>
      <w:lvlText w:val="%4、"/>
      <w:lvlJc w:val="left"/>
      <w:pPr>
        <w:ind w:left="1782" w:hanging="462"/>
      </w:pPr>
      <w:rPr/>
    </w:lvl>
    <w:lvl w:ilvl="5">
      <w:start w:val="1"/>
      <w:numFmt w:val="lowerLetter"/>
      <w:lvlText w:val="%6)"/>
      <w:lvlJc w:val="left"/>
      <w:pPr>
        <w:ind w:left="2536" w:hanging="336"/>
      </w:pPr>
      <w:rPr/>
    </w:lvl>
  </w:abstractNum>
  <w:num w:numId="2">
    <w:abstractNumId w:val="1"/>
  </w:num>
  <w:num w:numId="1">
    <w:abstractNumId w:val="2"/>
  </w:num>
</w:numbering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overrideTableStyleFontSizeAndJustification" w:uri="http://schemas.microsoft.com/office/word" w:val="1"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doNotFlipMirrorIndents" w:uri="http://schemas.microsoft.com/office/word" w:val="1"/>
    <w:compatSetting w:name="enableOpenTypeFeature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ablt93" w:default="true">
    <w:name w:val="Normal"/>
    <w:pPr>
      <w:widowControl w:val="false"/>
      <w:jc w:val="left"/>
    </w:pPr>
  </w:style>
  <w:style w:type="table" w:styleId="vvufob">
    <w:name w:val="Table Grid"/>
    <w:basedOn w:val="3m7590"/>
    <w:next w:val="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paragraph" w:styleId="jncc4o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table" w:styleId="3m7590" w:default="true">
    <w:name w:val="Normal Table"/>
    <w:basedOn w:val=""/>
    <w:next w:val="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faizka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png" /><Relationship Id="rId8" Type="http://schemas.openxmlformats.org/officeDocument/2006/relationships/image" Target="media/image5.png" /><Relationship Id="rId6" Type="http://schemas.openxmlformats.org/officeDocument/2006/relationships/image" Target="media/image3.pn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7" Type="http://schemas.openxmlformats.org/officeDocument/2006/relationships/image" Target="media/image4.png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2" Type="http://schemas.openxmlformats.org/officeDocument/2006/relationships/fontTable" Target="fontTable.xml" /><Relationship Id="rId3" Type="http://schemas.openxmlformats.org/officeDocument/2006/relationships/numbering" Target="numbering.xml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2026-03-05T12:40:01Z</dcterms:created>
  <dcterms:modified xsi:type="dcterms:W3CDTF">2026-03-05T12:40:01Z</dcterms:modified>
</cp:coreProperties>
</file>